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C8E9D">
      <w:pPr>
        <w:pStyle w:val="7"/>
        <w:spacing w:before="0" w:beforeAutospacing="0" w:after="0" w:afterAutospacing="0"/>
        <w:ind w:left="2560" w:hanging="2561" w:hangingChars="800"/>
        <w:jc w:val="both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OLE_LINK3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“空间赋能·文化育人”——杭州新时代教育建筑文化创新实践考察</w:t>
      </w:r>
    </w:p>
    <w:bookmarkEnd w:id="0"/>
    <w:p w14:paraId="6D62324B">
      <w:pPr>
        <w:pStyle w:val="7"/>
        <w:spacing w:before="0" w:beforeAutospacing="0" w:after="0" w:afterAutospacing="0"/>
        <w:ind w:left="2042" w:leftChars="801" w:hanging="360" w:hangingChars="100"/>
        <w:jc w:val="both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 w14:paraId="2778847F">
      <w:pPr>
        <w:pStyle w:val="7"/>
        <w:spacing w:before="0" w:beforeAutospacing="0" w:after="0" w:afterAutospacing="0"/>
        <w:ind w:left="1921" w:leftChars="915" w:firstLine="482" w:firstLineChars="200"/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地址:杭州    时间:2025年5月17-18日</w:t>
      </w:r>
    </w:p>
    <w:p w14:paraId="5DB98451">
      <w:pPr>
        <w:pStyle w:val="7"/>
        <w:spacing w:before="0" w:beforeAutospacing="0" w:after="0" w:afterAutospacing="0"/>
        <w:ind w:left="241" w:leftChars="115" w:firstLine="2168" w:firstLineChars="900"/>
        <w:jc w:val="both"/>
        <w:rPr>
          <w:b/>
          <w:bCs/>
          <w:color w:val="000000"/>
        </w:rPr>
      </w:pPr>
    </w:p>
    <w:p w14:paraId="24F0D981">
      <w:pPr>
        <w:spacing w:line="520" w:lineRule="exact"/>
        <w:ind w:firstLine="3242" w:firstLineChars="900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【考察与目的】</w:t>
      </w:r>
    </w:p>
    <w:p w14:paraId="71822F92">
      <w:pPr>
        <w:widowControl/>
        <w:spacing w:before="100" w:beforeAutospacing="1" w:after="100" w:afterAutospacing="1" w:line="360" w:lineRule="exact"/>
        <w:ind w:firstLine="600" w:firstLineChars="25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>建筑设计师在教育建筑设计中，考察现有建筑是必不可少的实践环节。通过实地观察，设计师可以深刻理解建筑的功能需求、空间组织以及与教育理念的契合，从而为未来设计提供重要的参考和灵感。</w:t>
      </w:r>
    </w:p>
    <w:p w14:paraId="1D2A455B">
      <w:pPr>
        <w:widowControl/>
        <w:spacing w:before="100" w:beforeAutospacing="1" w:after="100" w:afterAutospacing="1" w:line="320" w:lineRule="exact"/>
        <w:jc w:val="left"/>
        <w:outlineLvl w:val="2"/>
        <w:rPr>
          <w:rFonts w:ascii="微软雅黑" w:hAnsi="微软雅黑" w:eastAsia="微软雅黑" w:cs="宋体"/>
          <w:b/>
          <w:bCs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kern w:val="0"/>
          <w:sz w:val="27"/>
          <w:szCs w:val="27"/>
        </w:rPr>
        <w:t>一、考察内容</w:t>
      </w:r>
    </w:p>
    <w:p w14:paraId="401EF15A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空间布局与功能分区</w:t>
      </w:r>
      <w:r>
        <w:rPr>
          <w:rFonts w:ascii="微软雅黑" w:hAnsi="微软雅黑" w:eastAsia="微软雅黑" w:cs="宋体"/>
          <w:kern w:val="0"/>
          <w:sz w:val="24"/>
          <w:szCs w:val="24"/>
        </w:rPr>
        <w:t>：考察教育建筑内教室、图书馆、活动区等功能空间的布局，关注其流线是否合理，空间如何支持教育活动的高效运作。</w:t>
      </w:r>
    </w:p>
    <w:p w14:paraId="782BB7E7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教育理念与建筑表达</w:t>
      </w:r>
      <w:r>
        <w:rPr>
          <w:rFonts w:ascii="微软雅黑" w:hAnsi="微软雅黑" w:eastAsia="微软雅黑" w:cs="宋体"/>
          <w:kern w:val="0"/>
          <w:sz w:val="24"/>
          <w:szCs w:val="24"/>
        </w:rPr>
        <w:t>：不同的教育建筑反映各自的教学理念。设计师需分析建筑如何通过空间设计体现开放、互动或传统教学模式。</w:t>
      </w:r>
    </w:p>
    <w:p w14:paraId="4F9799FE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可持续设计</w:t>
      </w:r>
      <w:r>
        <w:rPr>
          <w:rFonts w:ascii="微软雅黑" w:hAnsi="微软雅黑" w:eastAsia="微软雅黑" w:cs="宋体"/>
          <w:kern w:val="0"/>
          <w:sz w:val="24"/>
          <w:szCs w:val="24"/>
        </w:rPr>
        <w:t>：关注建筑中绿色设计的应用，如自然采光、通风及节能技术，了解如何通过环保手段提升建筑的可持续性。</w:t>
      </w:r>
    </w:p>
    <w:p w14:paraId="6D3A5F34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灵活性与适应性</w:t>
      </w:r>
      <w:r>
        <w:rPr>
          <w:rFonts w:ascii="微软雅黑" w:hAnsi="微软雅黑" w:eastAsia="微软雅黑" w:cs="宋体"/>
          <w:kern w:val="0"/>
          <w:sz w:val="24"/>
          <w:szCs w:val="24"/>
        </w:rPr>
        <w:t>：观察空间的灵活性，例如教室是否能适应不同的教学方式，公共区域能否多功能使用。</w:t>
      </w:r>
    </w:p>
    <w:p w14:paraId="67920232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用户体验与人性化设计</w:t>
      </w:r>
      <w:r>
        <w:rPr>
          <w:rFonts w:ascii="微软雅黑" w:hAnsi="微软雅黑" w:eastAsia="微软雅黑" w:cs="宋体"/>
          <w:kern w:val="0"/>
          <w:sz w:val="24"/>
          <w:szCs w:val="24"/>
        </w:rPr>
        <w:t>：考察细节设计如光线、声学、家具舒适度等，评估空间是否真正以使用者为中心。</w:t>
      </w:r>
    </w:p>
    <w:p w14:paraId="20299469">
      <w:pPr>
        <w:widowControl/>
        <w:spacing w:before="100" w:beforeAutospacing="1" w:after="100" w:afterAutospacing="1" w:line="320" w:lineRule="exact"/>
        <w:jc w:val="left"/>
        <w:outlineLvl w:val="2"/>
        <w:rPr>
          <w:rFonts w:ascii="微软雅黑" w:hAnsi="微软雅黑" w:eastAsia="微软雅黑" w:cs="宋体"/>
          <w:b/>
          <w:bCs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kern w:val="0"/>
          <w:sz w:val="27"/>
          <w:szCs w:val="27"/>
        </w:rPr>
        <w:t>二、考察目的</w:t>
      </w:r>
    </w:p>
    <w:p w14:paraId="6D8385A4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理解功能需求</w:t>
      </w:r>
      <w:r>
        <w:rPr>
          <w:rFonts w:ascii="微软雅黑" w:hAnsi="微软雅黑" w:eastAsia="微软雅黑" w:cs="宋体"/>
          <w:kern w:val="0"/>
          <w:sz w:val="24"/>
          <w:szCs w:val="24"/>
        </w:rPr>
        <w:t>：深入了解教育建筑对不同功能空间的要求，确保设计方案既实用又符合教学需求。</w:t>
      </w:r>
    </w:p>
    <w:p w14:paraId="52F3C4F3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借鉴优秀设计</w:t>
      </w:r>
      <w:r>
        <w:rPr>
          <w:rFonts w:ascii="微软雅黑" w:hAnsi="微软雅黑" w:eastAsia="微软雅黑" w:cs="宋体"/>
          <w:kern w:val="0"/>
          <w:sz w:val="24"/>
          <w:szCs w:val="24"/>
        </w:rPr>
        <w:t>：通过学习成功案例的设计亮点，汲取创新灵感，提升设计方案的创造性。</w:t>
      </w:r>
    </w:p>
    <w:p w14:paraId="3184B3D3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提升空间质量</w:t>
      </w:r>
      <w:r>
        <w:rPr>
          <w:rFonts w:ascii="微软雅黑" w:hAnsi="微软雅黑" w:eastAsia="微软雅黑" w:cs="宋体"/>
          <w:kern w:val="0"/>
          <w:sz w:val="24"/>
          <w:szCs w:val="24"/>
        </w:rPr>
        <w:t>：通过优化光线、通风、温湿度等环境要素，创造更舒适的学习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的</w:t>
      </w:r>
      <w:r>
        <w:rPr>
          <w:rFonts w:ascii="微软雅黑" w:hAnsi="微软雅黑" w:eastAsia="微软雅黑" w:cs="宋体"/>
          <w:kern w:val="0"/>
          <w:sz w:val="24"/>
          <w:szCs w:val="24"/>
        </w:rPr>
        <w:t>环境。</w:t>
      </w:r>
    </w:p>
    <w:p w14:paraId="610265C2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文化与教育融合</w:t>
      </w:r>
      <w:r>
        <w:rPr>
          <w:rFonts w:ascii="微软雅黑" w:hAnsi="微软雅黑" w:eastAsia="微软雅黑" w:cs="宋体"/>
          <w:kern w:val="0"/>
          <w:sz w:val="24"/>
          <w:szCs w:val="24"/>
        </w:rPr>
        <w:t>：分析建筑如何结合当地文化，增强设计的文化性与象征性。</w:t>
      </w:r>
    </w:p>
    <w:p w14:paraId="68D45E9A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推动可持续发展</w:t>
      </w:r>
      <w:r>
        <w:rPr>
          <w:rFonts w:ascii="微软雅黑" w:hAnsi="微软雅黑" w:eastAsia="微软雅黑" w:cs="宋体"/>
          <w:kern w:val="0"/>
          <w:sz w:val="24"/>
          <w:szCs w:val="24"/>
        </w:rPr>
        <w:t>：学习绿色建筑设计手法，在保证建筑功能的同时，减小环境影响。</w:t>
      </w:r>
    </w:p>
    <w:p w14:paraId="1589DEED">
      <w:pPr>
        <w:widowControl/>
        <w:spacing w:before="100" w:beforeAutospacing="1" w:after="100" w:afterAutospacing="1" w:line="360" w:lineRule="exact"/>
        <w:ind w:firstLine="315" w:firstLineChars="150"/>
        <w:jc w:val="left"/>
        <w:outlineLvl w:val="2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ascii="微软雅黑" w:hAnsi="微软雅黑" w:eastAsia="微软雅黑"/>
          <w:szCs w:val="21"/>
        </w:rPr>
        <w:t>设计师考察教育建筑是提升专业素养、深化设计思维的重要途径。通过对教育建筑空间布局、功能组织、教育理念的深入分析，设计师能够更好地理解教育建筑的复杂需求。同时，考察优秀的设计案例可以激发创新灵感，推动设计师在未来项目中创造更具功能性、人性化和可持续性的教育建筑。在日益复杂的设计环境中，考察的积累不仅丰富了设计师的经验，也为教育事业的发展提供了重要的建筑支持。</w:t>
      </w:r>
    </w:p>
    <w:p w14:paraId="57CDE01D">
      <w:pPr>
        <w:spacing w:line="560" w:lineRule="exact"/>
        <w:ind w:firstLine="3962" w:firstLineChars="1100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 w14:paraId="07C052B0">
      <w:pPr>
        <w:spacing w:line="560" w:lineRule="exact"/>
        <w:ind w:firstLine="3962" w:firstLineChars="1100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【行程安排】</w:t>
      </w:r>
    </w:p>
    <w:tbl>
      <w:tblPr>
        <w:tblStyle w:val="8"/>
        <w:tblpPr w:leftFromText="180" w:rightFromText="180" w:vertAnchor="text" w:horzAnchor="page" w:tblpX="1347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52"/>
        <w:gridCol w:w="6520"/>
      </w:tblGrid>
      <w:tr w14:paraId="6FDD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68" w:type="dxa"/>
            <w:vMerge w:val="restart"/>
            <w:vAlign w:val="center"/>
          </w:tcPr>
          <w:p w14:paraId="76E1303B">
            <w:pPr>
              <w:spacing w:line="440" w:lineRule="exact"/>
              <w:ind w:firstLine="352" w:firstLineChars="147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5月17日</w:t>
            </w:r>
          </w:p>
          <w:p w14:paraId="78EC0FD4">
            <w:pPr>
              <w:spacing w:line="440" w:lineRule="exact"/>
              <w:ind w:firstLine="352" w:firstLineChars="14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（周六）</w:t>
            </w:r>
          </w:p>
        </w:tc>
        <w:tc>
          <w:tcPr>
            <w:tcW w:w="1052" w:type="dxa"/>
            <w:vAlign w:val="center"/>
          </w:tcPr>
          <w:p w14:paraId="456769E2">
            <w:pPr>
              <w:spacing w:line="440" w:lineRule="exact"/>
              <w:ind w:firstLine="120" w:firstLineChars="50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6520" w:type="dxa"/>
            <w:vAlign w:val="center"/>
          </w:tcPr>
          <w:p w14:paraId="000B43A0">
            <w:pPr>
              <w:pStyle w:val="7"/>
              <w:spacing w:after="30" w:afterAutospacing="0" w:line="360" w:lineRule="exact"/>
              <w:jc w:val="center"/>
              <w:rPr>
                <w:rStyle w:val="10"/>
                <w:rFonts w:ascii="微软雅黑" w:hAnsi="微软雅黑" w:eastAsia="微软雅黑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/>
                <w:b w:val="0"/>
                <w:bCs w:val="0"/>
                <w:sz w:val="21"/>
                <w:szCs w:val="21"/>
              </w:rPr>
              <w:t>杭州湘湖未来学校</w:t>
            </w:r>
          </w:p>
          <w:p w14:paraId="2A028255">
            <w:pPr>
              <w:pStyle w:val="7"/>
              <w:spacing w:after="30" w:afterAutospacing="0" w:line="36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Style w:val="10"/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杭州奥体实验小学</w:t>
            </w:r>
          </w:p>
        </w:tc>
      </w:tr>
      <w:tr w14:paraId="78A2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68" w:type="dxa"/>
            <w:vMerge w:val="continue"/>
            <w:vAlign w:val="center"/>
          </w:tcPr>
          <w:p w14:paraId="108D8C3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4F0DAE9E">
            <w:pPr>
              <w:spacing w:line="440" w:lineRule="exact"/>
              <w:ind w:firstLine="120" w:firstLineChars="5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6520" w:type="dxa"/>
            <w:vAlign w:val="center"/>
          </w:tcPr>
          <w:p w14:paraId="7474DF45">
            <w:pPr>
              <w:pStyle w:val="7"/>
              <w:spacing w:after="30" w:afterAutospacing="0" w:line="36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/>
                <w:b w:val="0"/>
                <w:bCs w:val="0"/>
                <w:sz w:val="21"/>
                <w:szCs w:val="21"/>
              </w:rPr>
              <w:t>杭州威雅国际学校</w:t>
            </w:r>
          </w:p>
          <w:p w14:paraId="78485239">
            <w:pPr>
              <w:pStyle w:val="7"/>
              <w:spacing w:after="30" w:afterAutospacing="0" w:line="360" w:lineRule="exact"/>
              <w:jc w:val="center"/>
              <w:rPr>
                <w:szCs w:val="21"/>
              </w:rPr>
            </w:pPr>
            <w:r>
              <w:rPr>
                <w:rStyle w:val="10"/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西湖大学</w:t>
            </w:r>
          </w:p>
        </w:tc>
      </w:tr>
      <w:tr w14:paraId="7B32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68" w:type="dxa"/>
            <w:vMerge w:val="restart"/>
            <w:vAlign w:val="center"/>
          </w:tcPr>
          <w:p w14:paraId="2BFC5336">
            <w:pPr>
              <w:spacing w:line="440" w:lineRule="exact"/>
              <w:ind w:firstLine="352" w:firstLineChars="147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5月18日</w:t>
            </w:r>
          </w:p>
          <w:p w14:paraId="6330BACE">
            <w:pPr>
              <w:spacing w:line="440" w:lineRule="exact"/>
              <w:ind w:firstLine="352" w:firstLineChars="14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（周日）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A900E59">
            <w:pPr>
              <w:spacing w:line="440" w:lineRule="exact"/>
              <w:ind w:firstLine="120" w:firstLineChars="50"/>
              <w:jc w:val="center"/>
              <w:rPr>
                <w:rStyle w:val="1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 w:val="24"/>
                <w:szCs w:val="24"/>
              </w:rPr>
              <w:t>上午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9D872DA">
            <w:pPr>
              <w:pStyle w:val="7"/>
              <w:spacing w:after="30" w:afterAutospacing="0" w:line="360" w:lineRule="exact"/>
              <w:jc w:val="center"/>
              <w:rPr>
                <w:rStyle w:val="10"/>
                <w:rFonts w:ascii="微软雅黑" w:hAnsi="微软雅黑" w:eastAsia="微软雅黑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/>
                <w:b w:val="0"/>
                <w:bCs w:val="0"/>
                <w:sz w:val="21"/>
                <w:szCs w:val="21"/>
              </w:rPr>
              <w:t>杭州六小龙企业参观；六小龙企业、</w:t>
            </w:r>
          </w:p>
          <w:p w14:paraId="656FB4B7">
            <w:pPr>
              <w:pStyle w:val="7"/>
              <w:spacing w:after="30" w:afterAutospacing="0" w:line="360" w:lineRule="exact"/>
              <w:jc w:val="center"/>
              <w:rPr>
                <w:rStyle w:val="10"/>
                <w:rFonts w:ascii="微软雅黑" w:hAnsi="微软雅黑" w:eastAsia="微软雅黑"/>
                <w:sz w:val="21"/>
              </w:rPr>
            </w:pPr>
            <w:r>
              <w:rPr>
                <w:rStyle w:val="10"/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杭州科技城外国语学校海曙小学</w:t>
            </w:r>
          </w:p>
        </w:tc>
      </w:tr>
      <w:tr w14:paraId="2F90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68" w:type="dxa"/>
            <w:vMerge w:val="continue"/>
          </w:tcPr>
          <w:p w14:paraId="25420C6A">
            <w:pPr>
              <w:spacing w:line="440" w:lineRule="exact"/>
              <w:ind w:firstLine="352" w:firstLineChars="147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82716B2">
            <w:pPr>
              <w:spacing w:line="440" w:lineRule="exact"/>
              <w:ind w:firstLine="120" w:firstLineChars="50"/>
              <w:jc w:val="center"/>
              <w:rPr>
                <w:rStyle w:val="10"/>
                <w:rFonts w:cs="宋体"/>
                <w:kern w:val="0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下午</w:t>
            </w:r>
          </w:p>
        </w:tc>
        <w:tc>
          <w:tcPr>
            <w:tcW w:w="6520" w:type="dxa"/>
            <w:vAlign w:val="center"/>
          </w:tcPr>
          <w:p w14:paraId="37515A77">
            <w:pPr>
              <w:pStyle w:val="2"/>
              <w:shd w:val="clear" w:color="auto" w:fill="FFFFFF"/>
              <w:spacing w:before="0" w:beforeAutospacing="0" w:after="210" w:afterAutospacing="0" w:line="21" w:lineRule="atLeast"/>
              <w:jc w:val="center"/>
              <w:rPr>
                <w:rStyle w:val="10"/>
                <w:rFonts w:ascii="微软雅黑" w:hAnsi="微软雅黑" w:eastAsia="微软雅黑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10"/>
                <w:rFonts w:ascii="微软雅黑" w:hAnsi="微软雅黑" w:eastAsia="微软雅黑"/>
                <w:b w:val="0"/>
                <w:bCs w:val="0"/>
                <w:kern w:val="0"/>
                <w:sz w:val="21"/>
                <w:szCs w:val="21"/>
              </w:rPr>
              <w:t>杭州交通职业高级中学</w:t>
            </w:r>
          </w:p>
          <w:p w14:paraId="168A97B0">
            <w:pPr>
              <w:pStyle w:val="2"/>
              <w:shd w:val="clear" w:color="auto" w:fill="FFFFFF"/>
              <w:spacing w:before="0" w:beforeAutospacing="0" w:after="210" w:afterAutospacing="0" w:line="0" w:lineRule="atLeast"/>
              <w:jc w:val="center"/>
              <w:rPr>
                <w:rStyle w:val="10"/>
                <w:rFonts w:ascii="微软雅黑" w:hAnsi="微软雅黑" w:eastAsia="微软雅黑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10"/>
                <w:rFonts w:ascii="微软雅黑" w:hAnsi="微软雅黑" w:eastAsia="微软雅黑"/>
                <w:b w:val="0"/>
                <w:bCs w:val="0"/>
                <w:kern w:val="0"/>
                <w:sz w:val="21"/>
                <w:szCs w:val="21"/>
              </w:rPr>
              <w:t>哈佛红学校（新建学校名字暂定）</w:t>
            </w:r>
          </w:p>
        </w:tc>
      </w:tr>
    </w:tbl>
    <w:p w14:paraId="40A93E12">
      <w:pPr>
        <w:pStyle w:val="7"/>
        <w:spacing w:after="30" w:afterAutospacing="0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Style w:val="10"/>
          <w:rFonts w:hint="eastAsia"/>
          <w:b w:val="0"/>
          <w:sz w:val="21"/>
          <w:szCs w:val="21"/>
        </w:rPr>
        <w:t>最终行程以出发时为准，本次考察解释权在主办方</w:t>
      </w:r>
    </w:p>
    <w:p w14:paraId="3CB6ACB4">
      <w:pPr>
        <w:spacing w:line="520" w:lineRule="exact"/>
        <w:rPr>
          <w:rStyle w:val="10"/>
          <w:rFonts w:ascii="宋体" w:hAnsi="宋体" w:cs="宋体"/>
          <w:spacing w:val="15"/>
          <w:sz w:val="28"/>
          <w:szCs w:val="28"/>
          <w:shd w:val="clear" w:color="FFFFFF" w:fill="D9D9D9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【项目介绍】</w:t>
      </w:r>
    </w:p>
    <w:p w14:paraId="3308E7FD">
      <w:pPr>
        <w:rPr>
          <w:rStyle w:val="10"/>
          <w:rFonts w:ascii="宋体" w:hAnsi="宋体" w:cs="宋体"/>
          <w:spacing w:val="15"/>
          <w:sz w:val="28"/>
          <w:szCs w:val="28"/>
          <w:shd w:val="clear" w:color="FFFFFF" w:fill="D9D9D9"/>
        </w:rPr>
      </w:pPr>
      <w:r>
        <w:rPr>
          <w:rStyle w:val="10"/>
          <w:rFonts w:hint="eastAsia" w:ascii="宋体" w:hAnsi="宋体" w:cs="宋体"/>
          <w:spacing w:val="15"/>
          <w:sz w:val="28"/>
          <w:szCs w:val="28"/>
          <w:shd w:val="clear" w:color="FFFFFF" w:fill="D9D9D9"/>
        </w:rPr>
        <w:t>杭州“六小龙”企业</w:t>
      </w:r>
    </w:p>
    <w:p w14:paraId="64BA46E8">
      <w:pPr>
        <w:spacing w:line="360" w:lineRule="exact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【项目介绍】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杭州“六小龙”企业——深度求索（DeepSeek）、宇树科技、游戏科学、云深处科技、强脑科技、群核科技，作为杭州科技创新的杰出代表，分别在人工智能大模型、人形机器人、3A级游戏、智能机器人、脑机接口、空间智能等领域取得了突破性进展，成为全球科技圈关注的焦点。其创新成果不仅为各行业带来了变革性影响，也为行业的数字化、智能化升级提供了新思路。</w:t>
      </w:r>
    </w:p>
    <w:p w14:paraId="5497449A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hint="eastAsia" w:ascii="宋体" w:hAnsi="宋体" w:cs="微软雅黑"/>
          <w:spacing w:val="15"/>
          <w:sz w:val="28"/>
          <w:szCs w:val="28"/>
          <w:shd w:val="clear" w:color="FFFFFF" w:fill="D9D9D9"/>
        </w:rPr>
        <w:t>杭州湘湖未来学校</w:t>
      </w:r>
    </w:p>
    <w:p w14:paraId="196B3F47">
      <w:pPr>
        <w:spacing w:line="360" w:lineRule="exact"/>
        <w:rPr>
          <w:rFonts w:ascii="微软雅黑" w:hAnsi="微软雅黑" w:eastAsia="微软雅黑" w:cs="宋体"/>
          <w:bCs/>
          <w:spacing w:val="15"/>
          <w:sz w:val="28"/>
          <w:szCs w:val="28"/>
          <w:shd w:val="clear" w:color="FFFFFF" w:fill="D9D9D9"/>
        </w:rPr>
      </w:pPr>
      <w:r>
        <w:rPr>
          <w:rFonts w:hint="eastAsia" w:ascii="宋体" w:hAnsi="宋体" w:cs="宋体"/>
          <w:kern w:val="0"/>
          <w:sz w:val="24"/>
          <w:szCs w:val="24"/>
        </w:rPr>
        <w:t>【项目介绍】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湘湖未来学校是一个具有江南文化意蕴的学校。建筑设计根植于湘湖历史文脉，汲取东方禅意，总体布局由多重院落空间构成，造型提炼自江南民居形态，塑造了一座现代、典雅的江南书院，具有“精致、极致、雅致”的特质。</w:t>
      </w:r>
    </w:p>
    <w:p w14:paraId="289E8FB6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  <w:t>杭州威雅国际学校</w:t>
      </w:r>
    </w:p>
    <w:p w14:paraId="392C8F11">
      <w:pPr>
        <w:spacing w:line="36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项目介绍】杭州市威雅实验学校位于杭州市萧山区戴村镇，北临六中路，东邻戴西路。校区背靠仙女湖景区丘陵群，校内保留原地形中的湖水，景观优美。项目是一所涵盖9班幼儿园+48班12年一贯制的国际化学校。总用地面积15万平方米，总建筑面积8.3万平方米。学校建设由萧山区承担，交由威雅学校使用和管理。</w:t>
      </w:r>
    </w:p>
    <w:p w14:paraId="790009C5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  <w:t>杭州市奥体实验小学</w:t>
      </w:r>
    </w:p>
    <w:p w14:paraId="7F63F906">
      <w:pPr>
        <w:spacing w:line="360" w:lineRule="exact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【项目介绍】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杭州市奥体实验小学位于2022年亚运会主场馆“莲花碗”和杭州机场方向入城门户西兴大桥旁。地块被周边高层住宅和高架桥包裹，基地边界不完整并呈南偏东约40度夹角，校园出入口界面较短。设计通过独特的布局方式巧妙地化解了各种不利因素，在解决学校基本功能的基础上植入一个新的空间维度，使之与既有的教学空间碰撞、交融，创造出无限的使用功能和空间潜力，以应对未来中小学教育发展的需求。为孩子们提供一处快乐成长的“追梦舞台”。</w:t>
      </w:r>
    </w:p>
    <w:p w14:paraId="2051169D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  <w:t>西湖大学</w:t>
      </w:r>
    </w:p>
    <w:p w14:paraId="1DD840AE">
      <w:pPr>
        <w:spacing w:line="360" w:lineRule="exact"/>
        <w:rPr>
          <w:rFonts w:ascii="宋体" w:hAnsi="宋体" w:cs="宋体"/>
          <w:color w:val="222222"/>
          <w:spacing w:val="8"/>
          <w:szCs w:val="21"/>
          <w:shd w:val="clear" w:color="auto" w:fill="FFFFFF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【项目介绍】</w:t>
      </w:r>
      <w:r>
        <w:rPr>
          <w:rFonts w:hint="eastAsia" w:ascii="宋体" w:hAnsi="宋体"/>
          <w:color w:val="000000"/>
          <w:kern w:val="0"/>
          <w:sz w:val="24"/>
          <w:szCs w:val="24"/>
        </w:rPr>
        <w:t>西湖校区的设计满足了一系列规模和需求，从单个建筑到城市规模的总体规划。该场地被定义为一系列同心圆，在物理和概念上组织校园：学术环、水环和生活环。每个专业——医学、生物学、科学和计算机科学——都被安置在一个单独的大楼里。这些建筑物由交错的矩形玻璃体块和石框组成，似乎悬停在地面之上。每栋建筑都拥有独特的细节，色彩丰富，有定制的竖框图案。这些铰接式庭院建筑像珠子一样串在学术环的手链上，以促进跨学科交流的联系。</w:t>
      </w:r>
    </w:p>
    <w:p w14:paraId="2DE0E7F3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hint="eastAsia" w:ascii="宋体" w:hAnsi="宋体" w:cs="微软雅黑"/>
          <w:spacing w:val="15"/>
          <w:sz w:val="28"/>
          <w:szCs w:val="28"/>
          <w:shd w:val="clear" w:color="FFFFFF" w:fill="D9D9D9"/>
        </w:rPr>
        <w:t>杭州科技城外国语学校海曙小学</w:t>
      </w:r>
    </w:p>
    <w:p w14:paraId="217BCC0F">
      <w:pPr>
        <w:spacing w:line="360" w:lineRule="exact"/>
        <w:rPr>
          <w:rFonts w:ascii="宋体" w:hAnsi="宋体"/>
          <w:color w:val="000000"/>
          <w:kern w:val="0"/>
          <w:sz w:val="24"/>
          <w:szCs w:val="24"/>
        </w:rPr>
      </w:pPr>
      <w:bookmarkStart w:id="1" w:name="OLE_LINK1"/>
      <w:r>
        <w:rPr>
          <w:rFonts w:hint="eastAsia" w:ascii="宋体" w:hAnsi="宋体"/>
          <w:color w:val="000000"/>
          <w:kern w:val="0"/>
          <w:sz w:val="24"/>
          <w:szCs w:val="24"/>
        </w:rPr>
        <w:t>【项目介绍】</w:t>
      </w:r>
      <w:bookmarkEnd w:id="1"/>
      <w:r>
        <w:rPr>
          <w:rFonts w:hint="eastAsia" w:ascii="宋体" w:hAnsi="宋体"/>
          <w:color w:val="000000"/>
          <w:kern w:val="0"/>
          <w:sz w:val="24"/>
          <w:szCs w:val="24"/>
        </w:rPr>
        <w:t>未来科技城海曙学校是一个包括12班幼儿园和27 班小学的综合性建筑项目，将 28000 多平方米的体量打散成 15 个坡屋顶小房子，依照幼儿园、小学各年级不同的尺度与行为将建筑尺度逐渐变大，通过小体量的院落组合塑造一个体量亲切、尺度宜人的舒适校园。曾获建筑界“奥斯卡奖”ArchitizerA+ Awards。学校以童话风格建筑闻名，注重绘本教学与素质教育。</w:t>
      </w:r>
    </w:p>
    <w:p w14:paraId="232D008D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hint="eastAsia" w:ascii="宋体" w:hAnsi="宋体" w:cs="微软雅黑"/>
          <w:spacing w:val="15"/>
          <w:sz w:val="28"/>
          <w:szCs w:val="28"/>
          <w:shd w:val="clear" w:color="FFFFFF" w:fill="D9D9D9"/>
        </w:rPr>
        <w:t>杭州交通职业高级中学</w:t>
      </w:r>
    </w:p>
    <w:p w14:paraId="1A63FCBF">
      <w:pPr>
        <w:spacing w:line="36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【项目介绍】杭州交通职高笕桥新校区项目位于上城区笕桥生态公园单元内，东至药香路，南至开创街，西至相埠路，北至黎明路，占地面积145亩，总建筑面积约84425平方米，规划60个班级，三千名学生，全寄宿制职业高中。按照三星级绿色建筑标准设计。项目拟打造一所新型现代化校园，包括教学实训用房、教学辅助及行政管理用房、生活用房、地下停车库、体育活动场地、景观绿化、道路及防空专业队工程。</w:t>
      </w:r>
    </w:p>
    <w:p w14:paraId="5F59E58C">
      <w:pPr>
        <w:rPr>
          <w:rStyle w:val="10"/>
          <w:rFonts w:ascii="宋体" w:hAnsi="宋体" w:cs="微软雅黑"/>
          <w:spacing w:val="15"/>
          <w:sz w:val="28"/>
          <w:szCs w:val="28"/>
          <w:shd w:val="clear" w:color="FFFFFF" w:fill="D9D9D9"/>
        </w:rPr>
      </w:pPr>
      <w:r>
        <w:rPr>
          <w:rStyle w:val="10"/>
          <w:rFonts w:hint="eastAsia" w:ascii="宋体" w:hAnsi="宋体" w:cs="微软雅黑"/>
          <w:spacing w:val="15"/>
          <w:sz w:val="28"/>
          <w:szCs w:val="28"/>
          <w:shd w:val="clear" w:color="FFFFFF" w:fill="D9D9D9"/>
        </w:rPr>
        <w:t>哈佛红学校（新建学校名字暂定）</w:t>
      </w:r>
    </w:p>
    <w:p w14:paraId="28AC31A3">
      <w:pPr>
        <w:spacing w:line="36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【项目介绍】笕桥单元JG0701-08地块90班九年一贯制学校，学校占地面积约136亩，建筑面积约15.7万平方米，其中地上建筑面积约9.1万平方米，地下建筑面积约6.6万平方米。学校由7幢建筑及户外运动场地组成，包括办公楼、教学楼、风雨操场、食堂、教工宿舍、报告厅、图书馆等，还设有2个户外田径场，9个室外篮球场等。项目计划2025年秋季投入使用。</w:t>
      </w:r>
    </w:p>
    <w:p w14:paraId="0017454A">
      <w:pPr>
        <w:spacing w:line="360" w:lineRule="exact"/>
        <w:rPr>
          <w:rFonts w:ascii="宋体" w:hAnsi="宋体"/>
          <w:color w:val="000000"/>
          <w:kern w:val="0"/>
          <w:sz w:val="24"/>
          <w:szCs w:val="24"/>
        </w:rPr>
      </w:pPr>
    </w:p>
    <w:p w14:paraId="459DFEB8">
      <w:pPr>
        <w:spacing w:line="320" w:lineRule="exact"/>
        <w:jc w:val="right"/>
        <w:rPr>
          <w:rFonts w:ascii="宋体" w:hAnsi="宋体" w:cs="宋体"/>
          <w:b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pacing w:val="8"/>
          <w:sz w:val="28"/>
          <w:szCs w:val="28"/>
          <w:shd w:val="clear" w:color="auto" w:fill="FFFFFF"/>
        </w:rPr>
        <w:t>主办单位:</w:t>
      </w:r>
    </w:p>
    <w:p w14:paraId="47BFB9C7">
      <w:pPr>
        <w:spacing w:line="320" w:lineRule="exact"/>
        <w:jc w:val="right"/>
        <w:rPr>
          <w:rFonts w:ascii="宋体" w:hAnsi="宋体" w:cs="宋体"/>
          <w:b/>
          <w:spacing w:val="8"/>
          <w:sz w:val="28"/>
          <w:szCs w:val="28"/>
          <w:shd w:val="clear" w:color="auto" w:fill="FFFFFF"/>
        </w:rPr>
      </w:pPr>
    </w:p>
    <w:p w14:paraId="353EB049">
      <w:pPr>
        <w:spacing w:line="320" w:lineRule="exact"/>
        <w:jc w:val="right"/>
        <w:rPr>
          <w:rFonts w:hint="eastAsia" w:ascii="宋体" w:hAnsi="宋体" w:cs="宋体"/>
          <w:spacing w:val="8"/>
          <w:szCs w:val="21"/>
          <w:shd w:val="clear" w:color="auto" w:fill="FFFFFF"/>
        </w:rPr>
      </w:pPr>
      <w:r>
        <w:rPr>
          <w:rFonts w:hint="eastAsia" w:ascii="宋体" w:hAnsi="宋体" w:cs="宋体"/>
          <w:spacing w:val="8"/>
          <w:szCs w:val="21"/>
          <w:shd w:val="clear" w:color="auto" w:fill="FFFFFF"/>
        </w:rPr>
        <w:t>东方智赢管理有限公司</w:t>
      </w:r>
    </w:p>
    <w:p w14:paraId="64D8072E">
      <w:pPr>
        <w:spacing w:line="320" w:lineRule="exact"/>
        <w:jc w:val="right"/>
        <w:rPr>
          <w:rFonts w:ascii="宋体" w:hAnsi="宋体" w:cs="宋体"/>
          <w:spacing w:val="8"/>
          <w:szCs w:val="21"/>
          <w:shd w:val="clear" w:color="auto" w:fill="FFFFFF"/>
        </w:rPr>
      </w:pPr>
      <w:r>
        <w:rPr>
          <w:rFonts w:hint="eastAsia" w:ascii="宋体" w:hAnsi="宋体" w:cs="宋体"/>
          <w:spacing w:val="8"/>
          <w:szCs w:val="21"/>
          <w:shd w:val="clear" w:color="auto" w:fill="FFFFFF"/>
        </w:rPr>
        <w:t>中教设计联盟</w:t>
      </w:r>
    </w:p>
    <w:p w14:paraId="243D2268">
      <w:pPr>
        <w:spacing w:line="320" w:lineRule="exact"/>
        <w:jc w:val="right"/>
        <w:rPr>
          <w:rFonts w:ascii="宋体" w:hAnsi="宋体" w:cs="宋体"/>
          <w:spacing w:val="8"/>
          <w:szCs w:val="21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202565</wp:posOffset>
            </wp:positionV>
            <wp:extent cx="1457325" cy="1457325"/>
            <wp:effectExtent l="0" t="0" r="9525" b="952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pacing w:val="8"/>
          <w:szCs w:val="21"/>
          <w:shd w:val="clear" w:color="auto" w:fill="FFFFFF"/>
        </w:rPr>
        <w:t>青年建筑</w:t>
      </w:r>
    </w:p>
    <w:p w14:paraId="4E263893">
      <w:pPr>
        <w:spacing w:line="320" w:lineRule="exact"/>
        <w:jc w:val="right"/>
        <w:rPr>
          <w:rFonts w:ascii="宋体" w:hAnsi="宋体" w:cs="宋体"/>
          <w:spacing w:val="8"/>
          <w:szCs w:val="21"/>
          <w:shd w:val="clear" w:color="auto" w:fill="FFFFFF"/>
        </w:rPr>
      </w:pPr>
      <w:r>
        <w:rPr>
          <w:rFonts w:hint="eastAsia" w:ascii="宋体" w:hAnsi="宋体" w:cs="宋体"/>
          <w:spacing w:val="8"/>
          <w:szCs w:val="21"/>
          <w:shd w:val="clear" w:color="auto" w:fill="FFFFFF"/>
        </w:rPr>
        <w:t>未来空间设计</w:t>
      </w:r>
    </w:p>
    <w:p w14:paraId="630CE71F">
      <w:pPr>
        <w:spacing w:line="320" w:lineRule="exact"/>
        <w:jc w:val="right"/>
        <w:rPr>
          <w:rFonts w:ascii="宋体" w:hAnsi="宋体" w:cs="宋体"/>
          <w:spacing w:val="8"/>
          <w:szCs w:val="21"/>
          <w:shd w:val="clear" w:color="auto" w:fill="FFFFFF"/>
        </w:rPr>
      </w:pPr>
    </w:p>
    <w:p w14:paraId="28F243E9">
      <w:pPr>
        <w:spacing w:line="360" w:lineRule="exact"/>
        <w:rPr>
          <w:rFonts w:ascii="宋体" w:hAnsi="宋体" w:cs="宋体"/>
          <w:b/>
          <w:sz w:val="30"/>
          <w:szCs w:val="30"/>
        </w:rPr>
      </w:pPr>
    </w:p>
    <w:p w14:paraId="1C050BB9">
      <w:pPr>
        <w:widowControl/>
        <w:ind w:firstLine="6023" w:firstLineChars="25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东方智赢（北京）企业管理有限公司</w:t>
      </w:r>
    </w:p>
    <w:p w14:paraId="3EB771F3">
      <w:pPr>
        <w:widowControl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/>
          <w:bCs/>
          <w:szCs w:val="21"/>
        </w:rPr>
        <w:t xml:space="preserve">                                                                           2025年4月</w:t>
      </w:r>
    </w:p>
    <w:p w14:paraId="6A682EAA">
      <w:pPr>
        <w:spacing w:line="360" w:lineRule="exact"/>
        <w:jc w:val="center"/>
        <w:rPr>
          <w:rFonts w:ascii="宋体" w:hAnsi="宋体" w:cs="宋体"/>
          <w:sz w:val="28"/>
        </w:rPr>
      </w:pPr>
    </w:p>
    <w:p w14:paraId="4418F3AD">
      <w:pPr>
        <w:spacing w:line="360" w:lineRule="exact"/>
        <w:jc w:val="center"/>
        <w:rPr>
          <w:rFonts w:ascii="宋体" w:hAnsi="宋体" w:cs="宋体"/>
          <w:sz w:val="28"/>
        </w:rPr>
      </w:pPr>
    </w:p>
    <w:p w14:paraId="1498F63B">
      <w:pPr>
        <w:spacing w:line="360" w:lineRule="exact"/>
        <w:jc w:val="center"/>
        <w:rPr>
          <w:rFonts w:hint="eastAsia" w:ascii="宋体" w:hAnsi="宋体" w:cs="宋体"/>
          <w:sz w:val="28"/>
        </w:rPr>
      </w:pPr>
    </w:p>
    <w:p w14:paraId="6D4B284F">
      <w:pPr>
        <w:spacing w:line="360" w:lineRule="exact"/>
        <w:jc w:val="center"/>
        <w:rPr>
          <w:rFonts w:hint="eastAsia" w:ascii="宋体" w:hAnsi="宋体" w:cs="宋体"/>
          <w:sz w:val="28"/>
        </w:rPr>
      </w:pPr>
    </w:p>
    <w:p w14:paraId="3E684AB5">
      <w:pPr>
        <w:spacing w:line="360" w:lineRule="exact"/>
        <w:jc w:val="center"/>
        <w:rPr>
          <w:rFonts w:hint="eastAsia" w:ascii="宋体" w:hAnsi="宋体" w:cs="宋体"/>
          <w:sz w:val="28"/>
        </w:rPr>
      </w:pPr>
    </w:p>
    <w:p w14:paraId="7F875BA8">
      <w:pPr>
        <w:spacing w:line="360" w:lineRule="exact"/>
        <w:jc w:val="center"/>
        <w:rPr>
          <w:rFonts w:ascii="宋体" w:hAnsi="宋体" w:cs="宋体"/>
          <w:sz w:val="28"/>
        </w:rPr>
      </w:pPr>
    </w:p>
    <w:p w14:paraId="1D62A034">
      <w:pPr>
        <w:spacing w:line="360" w:lineRule="exact"/>
        <w:jc w:val="center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参  会  报  名  表</w:t>
      </w:r>
    </w:p>
    <w:p w14:paraId="7F19FD7D">
      <w:pPr>
        <w:spacing w:line="36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注：表中带有“﹡”的项目是您必须填写的项目，请您认真填写。谢谢合作！</w:t>
      </w:r>
    </w:p>
    <w:tbl>
      <w:tblPr>
        <w:tblStyle w:val="8"/>
        <w:tblW w:w="10073" w:type="dxa"/>
        <w:jc w:val="center"/>
        <w:tblCellSpacing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470"/>
        <w:gridCol w:w="3315"/>
        <w:gridCol w:w="3406"/>
      </w:tblGrid>
      <w:tr w14:paraId="4D37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61EE137D">
            <w:pPr>
              <w:spacing w:line="32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﹡单位名称</w:t>
            </w:r>
          </w:p>
        </w:tc>
        <w:tc>
          <w:tcPr>
            <w:tcW w:w="8158" w:type="dxa"/>
            <w:gridSpan w:val="3"/>
            <w:vAlign w:val="center"/>
          </w:tcPr>
          <w:p w14:paraId="534D60C1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14:paraId="3B24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41C043B9">
            <w:pPr>
              <w:spacing w:line="32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﹡地    址</w:t>
            </w:r>
          </w:p>
        </w:tc>
        <w:tc>
          <w:tcPr>
            <w:tcW w:w="8158" w:type="dxa"/>
            <w:gridSpan w:val="3"/>
            <w:vAlign w:val="center"/>
          </w:tcPr>
          <w:p w14:paraId="600AAFF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14:paraId="66C8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3E03E1C7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﹡邮    编</w:t>
            </w:r>
          </w:p>
        </w:tc>
        <w:tc>
          <w:tcPr>
            <w:tcW w:w="8158" w:type="dxa"/>
            <w:gridSpan w:val="3"/>
            <w:vAlign w:val="center"/>
          </w:tcPr>
          <w:p w14:paraId="362FFDAA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 w14:paraId="6074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5EB1240D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﹡姓    名</w:t>
            </w:r>
          </w:p>
        </w:tc>
        <w:tc>
          <w:tcPr>
            <w:tcW w:w="1448" w:type="dxa"/>
            <w:vAlign w:val="center"/>
          </w:tcPr>
          <w:p w14:paraId="201FEC8C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﹡性别</w:t>
            </w:r>
          </w:p>
        </w:tc>
        <w:tc>
          <w:tcPr>
            <w:tcW w:w="3293" w:type="dxa"/>
            <w:vAlign w:val="center"/>
          </w:tcPr>
          <w:p w14:paraId="3C4344A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﹡职务/职称</w:t>
            </w:r>
          </w:p>
        </w:tc>
        <w:tc>
          <w:tcPr>
            <w:tcW w:w="3373" w:type="dxa"/>
            <w:vAlign w:val="center"/>
          </w:tcPr>
          <w:p w14:paraId="69D7215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﹡电 话</w:t>
            </w:r>
          </w:p>
        </w:tc>
      </w:tr>
      <w:tr w14:paraId="5F2D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78CA81C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5EE70180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39CB9668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0C68B9B7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5C61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5E3966A7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3D1FE156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69FCBF14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57D75FF9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3541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5922A5F3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06ECE29B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74E28EF1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6461C9C2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2E81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250BAEA6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009A92C2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2C326AF0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3E75C985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427A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015ED041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2282F4C2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0AC79F21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0C8EA69C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53ED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48C5D0FE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2C5DB284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2BDB4559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41C8A6C1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1249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0836E1AF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2C2CF097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52505AB8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190A0D87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</w:tr>
      <w:tr w14:paraId="44E1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Align w:val="center"/>
          </w:tcPr>
          <w:p w14:paraId="1EF21C84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﹡付款方式</w:t>
            </w:r>
          </w:p>
        </w:tc>
        <w:tc>
          <w:tcPr>
            <w:tcW w:w="8158" w:type="dxa"/>
            <w:gridSpan w:val="3"/>
            <w:vAlign w:val="center"/>
          </w:tcPr>
          <w:p w14:paraId="11142862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银行汇款         ②微信/支付宝      </w:t>
            </w:r>
            <w:r>
              <w:rPr>
                <w:rFonts w:hint="eastAsia" w:ascii="宋体" w:hAnsi="宋体" w:cs="宋体"/>
              </w:rPr>
              <w:fldChar w:fldCharType="begin"/>
            </w:r>
            <w:r>
              <w:rPr>
                <w:rFonts w:hint="eastAsia" w:ascii="宋体" w:hAnsi="宋体" w:cs="宋体"/>
              </w:rPr>
              <w:instrText xml:space="preserve"> = 3 \* GB3 </w:instrText>
            </w:r>
            <w:r>
              <w:rPr>
                <w:rFonts w:hint="eastAsia" w:ascii="宋体" w:hAnsi="宋体" w:cs="宋体"/>
              </w:rPr>
              <w:fldChar w:fldCharType="separate"/>
            </w:r>
            <w:r>
              <w:rPr>
                <w:rFonts w:hint="eastAsia" w:ascii="宋体" w:hAnsi="宋体" w:cs="宋体"/>
              </w:rPr>
              <w:t>③</w:t>
            </w:r>
            <w:r>
              <w:rPr>
                <w:rFonts w:hint="eastAsia" w:ascii="宋体" w:hAnsi="宋体" w:cs="宋体"/>
              </w:rPr>
              <w:fldChar w:fldCharType="end"/>
            </w:r>
            <w:r>
              <w:rPr>
                <w:rFonts w:hint="eastAsia" w:ascii="宋体" w:hAnsi="宋体" w:cs="宋体"/>
              </w:rPr>
              <w:t>支票（限北京市）</w:t>
            </w:r>
          </w:p>
        </w:tc>
      </w:tr>
      <w:tr w14:paraId="73A0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CellSpacing w:w="11" w:type="dxa"/>
          <w:jc w:val="center"/>
        </w:trPr>
        <w:tc>
          <w:tcPr>
            <w:tcW w:w="1849" w:type="dxa"/>
            <w:vMerge w:val="restart"/>
            <w:vAlign w:val="center"/>
          </w:tcPr>
          <w:p w14:paraId="5675A9CC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﹡发    票</w:t>
            </w:r>
          </w:p>
        </w:tc>
        <w:tc>
          <w:tcPr>
            <w:tcW w:w="8158" w:type="dxa"/>
            <w:gridSpan w:val="3"/>
            <w:vAlign w:val="center"/>
          </w:tcPr>
          <w:p w14:paraId="4809ECD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□增值税专用发票  □增值税普通发票  （请于5月12日前将开票信息发送给会务组） </w:t>
            </w:r>
          </w:p>
        </w:tc>
      </w:tr>
      <w:tr w14:paraId="30F3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CellSpacing w:w="11" w:type="dxa"/>
          <w:jc w:val="center"/>
        </w:trPr>
        <w:tc>
          <w:tcPr>
            <w:tcW w:w="1849" w:type="dxa"/>
            <w:vMerge w:val="continue"/>
            <w:vAlign w:val="center"/>
          </w:tcPr>
          <w:p w14:paraId="58941597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8" w:type="dxa"/>
            <w:gridSpan w:val="3"/>
            <w:vAlign w:val="center"/>
          </w:tcPr>
          <w:p w14:paraId="3AA85EE6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注：本次会议费发票由东方智赢（北京）企业管理有限公司开具</w:t>
            </w:r>
          </w:p>
        </w:tc>
      </w:tr>
      <w:tr w14:paraId="62F8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tblCellSpacing w:w="11" w:type="dxa"/>
          <w:jc w:val="center"/>
        </w:trPr>
        <w:tc>
          <w:tcPr>
            <w:tcW w:w="1849" w:type="dxa"/>
            <w:vMerge w:val="restart"/>
            <w:vAlign w:val="center"/>
          </w:tcPr>
          <w:p w14:paraId="3B0D2FE9">
            <w:pPr>
              <w:spacing w:line="260" w:lineRule="exact"/>
              <w:ind w:left="-845" w:firstLine="8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﹡住    宿</w:t>
            </w:r>
          </w:p>
        </w:tc>
        <w:tc>
          <w:tcPr>
            <w:tcW w:w="8158" w:type="dxa"/>
            <w:gridSpan w:val="3"/>
            <w:vAlign w:val="center"/>
          </w:tcPr>
          <w:p w14:paraId="5473B4CC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会议酒店待定</w:t>
            </w:r>
          </w:p>
        </w:tc>
      </w:tr>
      <w:tr w14:paraId="5C31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CellSpacing w:w="11" w:type="dxa"/>
          <w:jc w:val="center"/>
        </w:trPr>
        <w:tc>
          <w:tcPr>
            <w:tcW w:w="1849" w:type="dxa"/>
            <w:vMerge w:val="continue"/>
            <w:vAlign w:val="center"/>
          </w:tcPr>
          <w:p w14:paraId="2A60267B">
            <w:pPr>
              <w:spacing w:line="260" w:lineRule="exact"/>
              <w:ind w:left="-845" w:firstLine="845"/>
              <w:rPr>
                <w:rFonts w:ascii="宋体" w:hAnsi="宋体" w:cs="宋体"/>
                <w:szCs w:val="21"/>
              </w:rPr>
            </w:pPr>
          </w:p>
        </w:tc>
        <w:tc>
          <w:tcPr>
            <w:tcW w:w="8158" w:type="dxa"/>
            <w:gridSpan w:val="3"/>
            <w:vAlign w:val="center"/>
          </w:tcPr>
          <w:p w14:paraId="34BF622A"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从5月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日入住，预定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单间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标间，预计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日退房</w:t>
            </w:r>
          </w:p>
        </w:tc>
      </w:tr>
    </w:tbl>
    <w:p w14:paraId="2B798844">
      <w:pPr>
        <w:pStyle w:val="6"/>
        <w:adjustRightInd w:val="0"/>
        <w:snapToGrid w:val="0"/>
        <w:spacing w:line="300" w:lineRule="auto"/>
        <w:ind w:left="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参 会 说 明</w:t>
      </w:r>
    </w:p>
    <w:p w14:paraId="7397F323">
      <w:pPr>
        <w:pStyle w:val="6"/>
        <w:numPr>
          <w:ilvl w:val="0"/>
          <w:numId w:val="4"/>
        </w:numPr>
        <w:adjustRightInd w:val="0"/>
        <w:snapToGrid w:val="0"/>
        <w:spacing w:line="300" w:lineRule="auto"/>
        <w:ind w:left="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本次会议会务组设在东方智赢（北京）企业管理有限公司</w:t>
      </w:r>
    </w:p>
    <w:p w14:paraId="18B17677">
      <w:pPr>
        <w:pStyle w:val="6"/>
        <w:numPr>
          <w:ilvl w:val="0"/>
          <w:numId w:val="4"/>
        </w:numPr>
        <w:adjustRightInd w:val="0"/>
        <w:snapToGrid w:val="0"/>
        <w:spacing w:line="300" w:lineRule="auto"/>
        <w:ind w:left="0"/>
        <w:rPr>
          <w:rFonts w:ascii="宋体" w:hAnsi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考察费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用：早鸟价为3280. 5月12日之后报名参加费用为￥3680元／人，（费用包括组织费、大巴费、考察费、演讲人、两天午餐费等、设备使用费）</w:t>
      </w:r>
    </w:p>
    <w:p w14:paraId="19FB460A">
      <w:pPr>
        <w:pStyle w:val="6"/>
        <w:adjustRightInd w:val="0"/>
        <w:snapToGrid w:val="0"/>
        <w:spacing w:line="300" w:lineRule="auto"/>
        <w:ind w:left="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三、会务组账户信息：</w:t>
      </w:r>
    </w:p>
    <w:p w14:paraId="07C5FCB9">
      <w:pPr>
        <w:pStyle w:val="6"/>
        <w:adjustRightInd w:val="0"/>
        <w:snapToGrid w:val="0"/>
        <w:spacing w:line="300" w:lineRule="auto"/>
        <w:ind w:left="319" w:leftChars="152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收款单位：东方智赢（北京）企业管理有限公司</w:t>
      </w:r>
    </w:p>
    <w:p w14:paraId="0E0D6537">
      <w:pPr>
        <w:pStyle w:val="6"/>
        <w:adjustRightInd w:val="0"/>
        <w:snapToGrid w:val="0"/>
        <w:spacing w:line="300" w:lineRule="auto"/>
        <w:ind w:left="319" w:leftChars="152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开 户 行：中国工商银行北京光华路支行</w:t>
      </w:r>
    </w:p>
    <w:p w14:paraId="5449B7EA">
      <w:pPr>
        <w:pStyle w:val="6"/>
        <w:adjustRightInd w:val="0"/>
        <w:snapToGrid w:val="0"/>
        <w:spacing w:line="300" w:lineRule="auto"/>
        <w:ind w:left="319" w:leftChars="152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帐    号：0200 2086 0920 0050 124</w:t>
      </w:r>
    </w:p>
    <w:p w14:paraId="73E49D27">
      <w:pPr>
        <w:pStyle w:val="6"/>
        <w:adjustRightInd w:val="0"/>
        <w:snapToGrid w:val="0"/>
        <w:spacing w:line="300" w:lineRule="auto"/>
        <w:ind w:left="423" w:leftChars="200" w:hanging="3" w:hangingChars="2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款汇出后请将报名表和电汇凭证拍照后，用微信发送给我们，会务组确认到款后，即发《参会报到通知》，其中将详细注明参会编号、报到时间、报到地点等事项。</w:t>
      </w:r>
    </w:p>
    <w:p w14:paraId="317DA813">
      <w:pPr>
        <w:pStyle w:val="6"/>
        <w:adjustRightInd w:val="0"/>
        <w:snapToGrid w:val="0"/>
        <w:spacing w:line="300" w:lineRule="auto"/>
        <w:ind w:left="412" w:hanging="413" w:hangingChars="196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四、因有大量的组织工作需要提前准备和落实，请务必在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>5月15日</w:t>
      </w:r>
      <w:r>
        <w:rPr>
          <w:rFonts w:hint="eastAsia" w:ascii="宋体" w:hAnsi="宋体" w:cs="宋体"/>
          <w:b w:val="0"/>
          <w:bCs/>
          <w:sz w:val="24"/>
          <w:szCs w:val="24"/>
        </w:rPr>
        <w:t>之前报名交款。为保证会务工作顺利进行。</w:t>
      </w:r>
    </w:p>
    <w:p w14:paraId="22BFE110">
      <w:pPr>
        <w:pStyle w:val="6"/>
        <w:adjustRightInd w:val="0"/>
        <w:snapToGrid w:val="0"/>
        <w:spacing w:line="300" w:lineRule="auto"/>
        <w:ind w:left="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五、参会人员如需住宿，请提前一周与会务组联系。会务组将作统一安排（费用自理）。</w:t>
      </w:r>
    </w:p>
    <w:p w14:paraId="40D64566">
      <w:pPr>
        <w:spacing w:line="300" w:lineRule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报名电话：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李惠武</w:t>
      </w:r>
      <w:r>
        <w:rPr>
          <w:rFonts w:hint="eastAsia" w:ascii="宋体" w:hAnsi="宋体" w:cs="宋体"/>
          <w:b w:val="0"/>
          <w:bCs/>
          <w:sz w:val="28"/>
          <w:szCs w:val="28"/>
        </w:rPr>
        <w:t xml:space="preserve">  1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3311257001（同微信）</w:t>
      </w:r>
    </w:p>
    <w:p w14:paraId="191F9115">
      <w:bookmarkStart w:id="2" w:name="_GoBack"/>
      <w:bookmarkEnd w:id="2"/>
    </w:p>
    <w:sectPr>
      <w:pgSz w:w="11906" w:h="16838"/>
      <w:pgMar w:top="826" w:right="991" w:bottom="67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A74B3"/>
    <w:multiLevelType w:val="singleLevel"/>
    <w:tmpl w:val="9B0A7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A341F"/>
    <w:multiLevelType w:val="multilevel"/>
    <w:tmpl w:val="092A34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00671BC"/>
    <w:multiLevelType w:val="multilevel"/>
    <w:tmpl w:val="400671B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90715A"/>
    <w:multiLevelType w:val="multilevel"/>
    <w:tmpl w:val="489071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Tg2Y2U3NjU3MDYwOWZiOWM1MDY4YWI2ZWYzNjcifQ=="/>
  </w:docVars>
  <w:rsids>
    <w:rsidRoot w:val="00A73E4D"/>
    <w:rsid w:val="00000F20"/>
    <w:rsid w:val="00005B42"/>
    <w:rsid w:val="00024B1C"/>
    <w:rsid w:val="00041BA4"/>
    <w:rsid w:val="0006022C"/>
    <w:rsid w:val="000A56D2"/>
    <w:rsid w:val="000E2485"/>
    <w:rsid w:val="00121CFD"/>
    <w:rsid w:val="0013510F"/>
    <w:rsid w:val="00152523"/>
    <w:rsid w:val="001668C0"/>
    <w:rsid w:val="001A7D60"/>
    <w:rsid w:val="001B50FF"/>
    <w:rsid w:val="00225334"/>
    <w:rsid w:val="00260BE6"/>
    <w:rsid w:val="0031363B"/>
    <w:rsid w:val="003525AE"/>
    <w:rsid w:val="00376A05"/>
    <w:rsid w:val="003900F9"/>
    <w:rsid w:val="003C47A3"/>
    <w:rsid w:val="003E4189"/>
    <w:rsid w:val="003F784B"/>
    <w:rsid w:val="00402FDD"/>
    <w:rsid w:val="0042532E"/>
    <w:rsid w:val="00425536"/>
    <w:rsid w:val="004468A5"/>
    <w:rsid w:val="00472A0F"/>
    <w:rsid w:val="00476334"/>
    <w:rsid w:val="004930F3"/>
    <w:rsid w:val="004D1728"/>
    <w:rsid w:val="004D25B7"/>
    <w:rsid w:val="004D3D5E"/>
    <w:rsid w:val="004E6BF8"/>
    <w:rsid w:val="004F3A47"/>
    <w:rsid w:val="00533F15"/>
    <w:rsid w:val="005922A4"/>
    <w:rsid w:val="005B1F8E"/>
    <w:rsid w:val="005C52C0"/>
    <w:rsid w:val="005F7D6A"/>
    <w:rsid w:val="00604F92"/>
    <w:rsid w:val="00605545"/>
    <w:rsid w:val="00607E99"/>
    <w:rsid w:val="00610EA1"/>
    <w:rsid w:val="00623329"/>
    <w:rsid w:val="006568FC"/>
    <w:rsid w:val="006579BC"/>
    <w:rsid w:val="006664A3"/>
    <w:rsid w:val="00693DD4"/>
    <w:rsid w:val="006D08C6"/>
    <w:rsid w:val="006D5D87"/>
    <w:rsid w:val="006F77C1"/>
    <w:rsid w:val="00724DD5"/>
    <w:rsid w:val="00766F3D"/>
    <w:rsid w:val="007806CE"/>
    <w:rsid w:val="00784F8F"/>
    <w:rsid w:val="00791478"/>
    <w:rsid w:val="007B2A76"/>
    <w:rsid w:val="007F7124"/>
    <w:rsid w:val="0081060C"/>
    <w:rsid w:val="00830365"/>
    <w:rsid w:val="008643CF"/>
    <w:rsid w:val="00867D1B"/>
    <w:rsid w:val="00867D5E"/>
    <w:rsid w:val="00952513"/>
    <w:rsid w:val="00966A5E"/>
    <w:rsid w:val="009D64C4"/>
    <w:rsid w:val="009D6DD1"/>
    <w:rsid w:val="00A66446"/>
    <w:rsid w:val="00A705D8"/>
    <w:rsid w:val="00A73E4D"/>
    <w:rsid w:val="00A85DE1"/>
    <w:rsid w:val="00B5461D"/>
    <w:rsid w:val="00B819D3"/>
    <w:rsid w:val="00BC714A"/>
    <w:rsid w:val="00BF4FE2"/>
    <w:rsid w:val="00CB77FD"/>
    <w:rsid w:val="00D23428"/>
    <w:rsid w:val="00D45CF5"/>
    <w:rsid w:val="00D70A90"/>
    <w:rsid w:val="00D97992"/>
    <w:rsid w:val="00E111D8"/>
    <w:rsid w:val="00E14E05"/>
    <w:rsid w:val="00E759C4"/>
    <w:rsid w:val="00E95375"/>
    <w:rsid w:val="00EF1237"/>
    <w:rsid w:val="00EF4574"/>
    <w:rsid w:val="00F1618C"/>
    <w:rsid w:val="00F349DE"/>
    <w:rsid w:val="00F70AE1"/>
    <w:rsid w:val="00F871B2"/>
    <w:rsid w:val="00F93A7B"/>
    <w:rsid w:val="00FA7952"/>
    <w:rsid w:val="00FC6FF9"/>
    <w:rsid w:val="00FD3EF2"/>
    <w:rsid w:val="00FE405B"/>
    <w:rsid w:val="00FF0218"/>
    <w:rsid w:val="18615571"/>
    <w:rsid w:val="2CA95C98"/>
    <w:rsid w:val="2E6D0C7F"/>
    <w:rsid w:val="41A3573C"/>
    <w:rsid w:val="629D350B"/>
    <w:rsid w:val="6D4A605D"/>
    <w:rsid w:val="7BC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5"/>
    <w:uiPriority w:val="0"/>
    <w:pPr>
      <w:spacing w:line="400" w:lineRule="atLeast"/>
      <w:ind w:left="1995"/>
    </w:pPr>
    <w:rPr>
      <w:b/>
      <w:w w:val="88"/>
      <w:sz w:val="2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weui-hidden_abs"/>
    <w:basedOn w:val="9"/>
    <w:qFormat/>
    <w:uiPriority w:val="0"/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b/>
      <w:w w:val="88"/>
      <w:sz w:val="28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27FE-385C-4147-A70F-F06E1C009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2357</Words>
  <Characters>2436</Characters>
  <Lines>23</Lines>
  <Paragraphs>6</Paragraphs>
  <TotalTime>2</TotalTime>
  <ScaleCrop>false</ScaleCrop>
  <LinksUpToDate>false</LinksUpToDate>
  <CharactersWithSpaces>2446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2025-04-17T08:07:00Z</dcterms:created>
  <dc:creator>admin</dc:creator>
  <cp:lastModifiedBy>李居朴</cp:lastModifiedBy>
  <dcterms:modified xsi:type="dcterms:W3CDTF">2025-04-24T04:05:01Z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4261A680E0F94BD48FA8FE43C5771DC3_12</vt:lpwstr>
  </property>
  <property fmtid="{D5CDD505-2E9C-101B-9397-08002B2CF9AE}" pid="4" name="KSOTemplateDocerSaveRecord">
    <vt:lpwstr>eyJoZGlkIjoiZWRmMWQ0Yjk4ODQzNjk0MTU2YzAxZjUwNDMyNTNlNjAiLCJ1c2VySWQiOiIxNTA5OTg0Nzg3In0=</vt:lpwstr>
  </property>
</Properties>
</file>